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443</w:t>
      </w:r>
    </w:p>
    <w:p>
      <w:r>
        <w:t>Bundesgericht (BGE), 2000-11-06, DE</w:t>
      </w:r>
    </w:p>
    <w:p>
      <w:r>
        <w:rPr>
          <w:b/>
        </w:rPr>
        <w:t xml:space="preserve">Quelle: </w:t>
      </w:r>
      <w:r>
        <w:t>https://mcp.opencaselaw.ch/entscheid/bge_126 V 443</w:t>
      </w:r>
    </w:p>
    <w:p>
      <w:r>
        <w:t>FR: ATF 126 V 443</w:t>
      </w:r>
    </w:p>
    <w:p>
      <w:r>
        <w:t>IT: DTF 126 V 443</w:t>
      </w:r>
    </w:p>
    <w:p>
      <w:pPr>
        <w:pStyle w:val="Heading2"/>
      </w:pPr>
      <w:r>
        <w:t>Regeste</w:t>
      </w:r>
    </w:p>
    <w:p>
      <w:r>
        <w:t>Regeste Art. 52 AHVG; Art. 82 Abs. 1 AHVV; Art. 171 und 219 Abs. 4 Dritte Klasse SchKG: Arbeitgeberhaftung; Zeitpunkt der Schadenskenntnis. Der Verlust des Konkursprivilegs für die Beitragsforderung ändert nichts an der bisherigen Rechtsprechung, wonach die Ausgleichskasse im Konkurs der Arbeitgeberin in der Regel erst im Zeitpunkt der Auflage des Kollokationsplans Kenntnis vom Schaden erlangt.</w:t>
      </w:r>
    </w:p>
    <w:p>
      <w:pPr>
        <w:pStyle w:val="Heading2"/>
      </w:pPr>
      <w:r>
        <w:t>Erwägungen</w:t>
      </w:r>
    </w:p>
    <w:p>
      <w:r>
        <w:rPr>
          <w:b/>
        </w:rPr>
        <w:t>E. 1</w:t>
      </w:r>
    </w:p>
    <w:p>
      <w:r>
        <w:t>(Verfahrensvereinigung; vgl. BGE 123 V 215 Erw. 1, BGE 120 V 466 Erw. 1 mit Hinweisen; POUDRET, Commentaire de la loi fédérale d'organisation judiciaire, Bd. 1, S. 343 unten f.)</w:t>
      </w:r>
    </w:p>
    <w:p>
      <w:r>
        <w:rPr>
          <w:b/>
        </w:rPr>
        <w:t>E. 2</w:t>
      </w:r>
    </w:p>
    <w:p>
      <w:r>
        <w:t>(Eingeschränkte Kognition; vgl. BGE 125 V 34 Erw. 1)</w:t>
      </w:r>
    </w:p>
    <w:p>
      <w:r>
        <w:rPr>
          <w:b/>
        </w:rPr>
        <w:t>E. 3</w:t>
      </w:r>
    </w:p>
    <w:p>
      <w:r>
        <w:t>Streitig ist, ob die Ausgleichskasse die Schadenersatzverfügung gegen den Beschwerdegegner rechtzeitig innerhalb der einjährigen Verwirkungsfrist des Art. 82 Abs. 1 AHVV erlassen hat. a) Gemäss Art. 82 Abs. 1 AHVV verjährt die Schadenersatzforderung, wenn sie nicht innert Jahresfrist seit Kenntnis des Schadens durch Erlass einer Schadenersatzverfügung geltend gemacht wird, auf jeden Fall aber mit Ablauf von fünf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BGE 119 V 92 Erw. 3, BGE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BGE 113 V 257 f., je mit Hinweisen). Im Falle eines Konkurses besteht praxisgemäss in der Regel bereits dann ausreichend Kenntnis des Schadens, wenn die Kollokation der Forderungen eröffnet bzw. der Kollokationsplan (und das Inventar) zur Einsicht aufgelegt wird ( BGE 121 V 234 , BGE 119 V 92 Erw. 3, BGE 118 V 196 Erw. 3a, je mit Hinweisen). BGE 126 V 443 S. 445 b) Diese Grundsätze kommen auch bei Durchführung des summarischen Konkursverfahrens zur Anwendung, da dessen Anordnung noch keine Kenntnis des Schadens begründet ( BGE 116 V 77 unten mit Hinweisen; AHI 1995 S. 189 Erw. 3c; THOMAS NUSSBAUMER, Die Ausgleichskasse als Partei im Schadenersatzprozess nach Artikel 52 AHVG, in: ZAK 1991 S. 390; derselbe, Das Schadenersatzverfahren nach Art. 52 AHVG , in: Aktuelle Fragen aus dem Beitragsrecht der AHV, St. Gallen 1998, S. 110). c)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(ZAK 1990 S. 289 Erw. 4b und S. 290 Erw. 4c/bb; NUSSBAUMER, a.a.O. in ZAK 1991 S. 390). Voraussetzung für eine ausreichende Kenntnis des Schadens ist aber, dass die Ausgleichskasse zu diesem Zeitpunkt bereits alle tatsächlichen Umstände über die Existenz, die Beschaffenheit und die wesentlichen Merkmale des Schadens ( BGE 116 II 160 Erw. 4a mit Hinweis, BGE 116 V 76 Erw. 3b; ZAK 1992 S. 251 unten) sowie die Person des Ersatzpflichtigen (NUSSBAUMER, a.a.O. in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S. vom 7. Januar 2000).</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 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BGE 126 V 443 S. 446 hinreichend Kenntnis vom Umstand haben, dass ihre Forderung durch die Dividende, die sie im Konkurs erwarten dürften, mit überwiegender Wahrscheinlichkeit nicht voll gedeckt sein würde. Auf Grund einer Auskunft des Konkursamtes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 11. AHV-Revision bereits wieder Bestrebungen in Richtung Privilegierung der Forderungen der Alters- und Hinterlassenenversicherung im Gange seien (nunmehr Art. 219 Abs. 4 zweite Klasse lit. b SchKG in der Fassung gemäss Gesetzesänderung vom 24. März 2000, AS 2000 2531 f.; vgl. dazu auch die parlamentarische Initiative der Kommission für soziale Sicherheit und Gesundheit vom 26. März 1999, BBl 1999 9126 ff., und Amtl.Bull. 2000 S 110 und 229, N 368 und 464 sowie 1999 N 2430). 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 Versicherungsgericht sodann unter Hinweis auf BGE 113 V 182 Erw. 2 und BGE 112 V 161 festgehalten, bei Konkursen sei Kenntnis des Schadens grundsätzlich bei Auflage des Kollokationsplanes (und des BGE 126 V 443 S. 447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BGE 119 V 92 Erw. 3). In der Literatur wurde diese Rechtsprechung teilweise beanstandet (PAUL CADOTSCH, Wann hat die AHV-Ausgleichskasse Kenntnis des im Konkurs eines Arbeitgebers erlittenen Schadens, in: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 Versicherungsgericht hat sich mit dieser Kritik in BGE 116 V 78 Erw. 3c eingehend auseinandergesetzt und dargelegt, weshalb an der bisherigen Rechtsprechung festzuhalten sei. 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 Erw. 3c/bb mit Hinweisen). Im nicht veröffentlichten Urteil S. und K. vom 2. Dezember 1999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BGE 126 V 443 S. 448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c) Diese Überlegungen haben auch unter der Herrschaft der am 1. Januar 1997 in Kraft getretenen und für sozialversicherungsrechtliche Beitragsforderungen auf den 1. Januar 2001 bereits wieder rückgängig gemachten (Erw. 4a am Ende hievor; AS 2000 2532) Änderung der Privilegienordnung des Art. 219 Abs. 4 SchKG Geltung. Wie das Bundesamt für Sozialversicherung zu Recht darauf hinweist, beruht die Rechtsprechung des Eidg.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BGE 111 II 57 Erw. 3a und 167 Erw. 1a; vgl. nunmehr auch BGE 121 III 388 Erw. 3b, BGE 119 V 92 Erw. 3, BGE 118 V 195 Erw. 3a, BGE 116 II 160 Erw. 4a) erachtete das Eidg. Versicherungsgericht den Zeitpunkt der Schadenskenntnis im Konkursfalle in der Regel mit der Auflage des Kollokationsplanes als gegeben ( BGE 113 V 181 Erw. 2, BGE 112 V 161 f. Erw. 3b; bestätigt mit BGE 121 V 234 und 240, BGE 116 V 72 ). Es glich damit seine bisherige Praxis der im Zivilrecht ( BGE 111 II 167 Erw. 1a, bestätigt in BGE 122 III 195 und BGE 116 II 158 )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BGE 126 V 443 S. 449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 Zum einen ist die Schadenersatzforderung nicht identisch mit der Beitragsforderung ( BGE 123 V 171 Erw. 3a, BGE 119 V 95 Erw. 4b/bb; AHI 1996 S. 131 unten), weshalb für den Eintritt eines Schadens zuerst der vollständige oder teilweise Verlust der Beitragsforderung feststehen muss. Für die Schadenskenntnis bedarf es daher neben der Konkurseröffnung und der Arbeitgeberkontrolle zusätzlicher Erkenntnisse. Zum andern hat es das Eidg. Versicherungsgericht erst kürzlich abgelehnt, im Falle der Anordnung eines summarischen Konkursverfahrens nach Art. 231 SchKG (in der bis Ende 1996 gültig gewesenen Fassung), den Zeitpunkt der Schadenskenntnis vorzuverlegen (nicht veröffentlichte Urteile I. vom 27. Juni 2000 sowie S. und K. vom 2. Dezember 1999). Schliesslich nimmt das Eidg. Versicherungsgericht in Einklang mit der bundesgerichtlichen Rechtsprechung ( BGE 116 II 162 , BGE 111 II 57 Erw. 3a) angesichts der kurzen Frist von einem Jahr zur Geltendmachung der Schadenersatzforderung im Interesse des Gläubigers nicht leichthin einen früheren Zeitpunkt der Schadenskenntnis an ( BGE 121 V 242 ), zumal eine Ausgleichskasse BGE 126 V 443 S. 450 bei verfrühtem Vorgehen die Abweisung ihrer Klage riskiert (erwähntes Urteil M. vom 13. März 1998). An der bisherigen Rechtsprechung ist auch nach der Änderung der konkursrechtlichen Privilegienordnung weiterhin festzuhalten. d) Da auf Grund der Akten keine Gründe ersichtlich sind, die im Sinne der bisherigen Rechtsprechung für eine ausnahmsweise Vorverlegung des Zeitpunkts der Schadenskenntnis im vorliegenden Fall sprechen, erweist sich die Verfügung der Ausgleichskasse vom 3. Dezember 1998 angesichts der vom 8. bis 27. Dezember 1997 erfolgten Auflage des Kollokationsplanes (vgl. dazu Art. 250 Abs. 1 SchKG in der ab 1. Januar 1997 gültigen Fassung) als rechtzeitig ( BGE 121 V 234 , BGE 119 V 95 Erw. 4c; AHI 1996 S. 129 Erw. 2a). Die Sache geht daher an das kantonale Gericht zurück, damit dieses nach Prüfung der weiteren materiellen Haftungsvoraussetzungen über die Schadenersatzklage der Ausgleichskasse SPIDA neu entscheide.</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